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pageBreakBefore w:val="0"/>
        <w:spacing w:before="0" w:after="180"/>
      </w:pPr>
      <w:r>
        <w:rPr>
          <w:b/>
          <w:color w:val="176C66"/>
          <w:sz w:val="20"/>
        </w:rPr>
        <w:t>EXPLAIN FIRST</w:t>
      </w:r>
    </w:p>
    <w:p>
      <w:pPr>
        <w:pStyle w:val="Title"/>
        <w:keepNext w:val="0"/>
        <w:spacing w:before="0" w:after="140"/>
      </w:pPr>
      <w:r>
        <w:t>Feynman technique worksheet</w:t>
      </w:r>
    </w:p>
    <w:p>
      <w:pPr>
        <w:keepNext w:val="0"/>
        <w:spacing w:before="0" w:after="180"/>
      </w:pPr>
      <w:r>
        <w:rPr>
          <w:sz w:val="23"/>
        </w:rPr>
        <w:t>Use one explanation to find what you need to check. Complete pages 1 and 2 for one small question. Page 3 shows a finished example.</w:t>
      </w:r>
    </w:p>
    <w:p>
      <w:pPr>
        <w:spacing w:after="140"/>
      </w:pPr>
      <w:r>
        <w:rPr>
          <w:b/>
          <w:sz w:val="21"/>
        </w:rPr>
        <w:t xml:space="preserve">Start with some background. </w:t>
      </w:r>
      <w:r>
        <w:rPr>
          <w:sz w:val="21"/>
        </w:rPr>
        <w:t>Read an introduction or study an example first if the topic is new. Put the source aside for your first explanation; reopen it to check.</w:t>
      </w:r>
    </w:p>
    <w:p>
      <w:pPr>
        <w:pStyle w:val="Heading1"/>
      </w:pPr>
      <w:r>
        <w:t>1 Choose one question</w:t>
      </w:r>
    </w:p>
    <w:p>
      <w:pPr>
        <w:spacing w:after="160"/>
      </w:pPr>
      <w:r>
        <w:rPr>
          <w:b/>
          <w:sz w:val="21"/>
        </w:rPr>
        <w:t xml:space="preserve">My question  </w:t>
      </w:r>
      <w:r>
        <w:rPr>
          <w:sz w:val="21"/>
        </w:rPr>
        <w:t>__________________________________________________</w:t>
      </w:r>
    </w:p>
    <w:p>
      <w:pPr>
        <w:spacing w:after="160"/>
      </w:pPr>
      <w:r>
        <w:rPr>
          <w:b/>
          <w:sz w:val="21"/>
        </w:rPr>
        <w:t xml:space="preserve">Audience  </w:t>
      </w:r>
      <w:r>
        <w:rPr>
          <w:sz w:val="21"/>
        </w:rPr>
        <w:t>___________________________    Date  _____________________</w:t>
      </w:r>
    </w:p>
    <w:p>
      <w:pPr>
        <w:spacing w:after="160"/>
      </w:pPr>
      <w:r>
        <w:rPr>
          <w:b/>
          <w:sz w:val="21"/>
        </w:rPr>
        <w:t xml:space="preserve">Reference to check  </w:t>
      </w:r>
      <w:r>
        <w:rPr>
          <w:sz w:val="21"/>
        </w:rPr>
        <w:t>__________________________________________________</w:t>
      </w:r>
    </w:p>
    <w:p>
      <w:pPr>
        <w:pStyle w:val="Heading1"/>
      </w:pPr>
      <w:r>
        <w:t>2 Explain without notes</w:t>
      </w:r>
    </w:p>
    <w:p>
      <w:pPr>
        <w:keepNext w:val="0"/>
        <w:spacing w:before="0" w:after="60"/>
      </w:pPr>
      <w:r>
        <w:rPr>
          <w:sz w:val="21"/>
        </w:rPr>
        <w:t>What does the idea mean? How or why does it work? Define the terms you need. Mark uncertain parts with a question mark instead of guessing.</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pStyle w:val="Heading1"/>
      </w:pPr>
      <w:r>
        <w:t>Show it in an example</w:t>
      </w:r>
    </w:p>
    <w:p>
      <w:pPr>
        <w:keepNext w:val="0"/>
        <w:spacing w:before="0" w:after="60"/>
      </w:pPr>
      <w:r>
        <w:rPr>
          <w:sz w:val="21"/>
        </w:rPr>
        <w:t>Use a small calculation, situation, drawing, or sequence of steps.</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pStyle w:val="Heading1"/>
      </w:pPr>
      <w:r>
        <w:t>Before you check</w:t>
      </w:r>
    </w:p>
    <w:p>
      <w:pPr>
        <w:keepNext w:val="0"/>
        <w:spacing w:before="0" w:after="60"/>
      </w:pPr>
      <w:r>
        <w:rPr>
          <w:sz w:val="21"/>
        </w:rPr>
        <w:t>Underline any claim you cannot justify. Circle a term you cannot explain. Note a missing condition or a question your audience might ask.</w:t>
      </w:r>
    </w:p>
    <w:p>
      <w:pPr>
        <w:keepNext w:val="0"/>
        <w:spacing w:before="0" w:after="0" w:line="440" w:lineRule="exact"/>
      </w:pPr>
      <w:r>
        <w:rPr>
          <w:color w:val="B5BDC0"/>
          <w:sz w:val="20"/>
        </w:rPr>
        <w:t>________________________________________________________________________</w:t>
      </w:r>
    </w:p>
    <w:p>
      <w:pPr>
        <w:keepNext w:val="0"/>
        <w:spacing w:before="0" w:after="0" w:line="440" w:lineRule="exact"/>
      </w:pPr>
      <w:r>
        <w:rPr>
          <w:color w:val="B5BDC0"/>
          <w:sz w:val="20"/>
        </w:rPr>
        <w:t>________________________________________________________________________</w:t>
      </w:r>
    </w:p>
    <w:p>
      <w:pPr>
        <w:keepNext w:val="0"/>
        <w:pageBreakBefore/>
        <w:spacing w:before="0" w:after="180"/>
      </w:pPr>
      <w:r>
        <w:rPr>
          <w:b/>
          <w:color w:val="176C66"/>
          <w:sz w:val="20"/>
        </w:rPr>
        <w:t>CHECK AND REVISE</w:t>
      </w:r>
    </w:p>
    <w:p>
      <w:pPr>
        <w:pStyle w:val="Title"/>
        <w:keepNext w:val="0"/>
        <w:spacing w:before="0" w:after="140"/>
      </w:pPr>
      <w:r>
        <w:t>Check revise and apply</w:t>
      </w:r>
    </w:p>
    <w:p>
      <w:pPr>
        <w:keepNext w:val="0"/>
        <w:spacing w:before="0" w:after="120"/>
      </w:pPr>
      <w:r>
        <w:rPr>
          <w:sz w:val="21"/>
        </w:rPr>
        <w:t>Question or topic  ____________________________________________________</w:t>
      </w:r>
    </w:p>
    <w:p>
      <w:pPr>
        <w:pStyle w:val="Heading1"/>
      </w:pPr>
      <w:r>
        <w:t>3 Check the gaps against your reference</w:t>
      </w:r>
    </w:p>
    <w:p>
      <w:pPr>
        <w:keepNext w:val="0"/>
        <w:spacing w:before="0" w:after="140"/>
      </w:pPr>
      <w:r>
        <w:rPr>
          <w:sz w:val="21"/>
        </w:rPr>
        <w:t>Check the confident parts too. Replace broad notes such as “study more” with a specific question. Record the exact source section or page.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3816"/>
        <w:gridCol w:w="3168"/>
      </w:tblGrid>
      <w:tr>
        <w:trPr>
          <w:cantSplit/>
          <w:tblHeader w:val="true"/>
        </w:trPr>
        <w:tc>
          <w:tcPr>
            <w:tcW w:type="dxa" w:w="3384"/>
            <w:vAlign w:val="center"/>
            <w:tcMar>
              <w:top w:w="85" w:type="dxa"/>
              <w:bottom w:w="85" w:type="dxa"/>
              <w:left w:w="90" w:type="dxa"/>
              <w:right w:w="90" w:type="dxa"/>
            </w:tcMar>
            <w:shd w:fill="173746"/>
          </w:tcPr>
          <w:p>
            <w:pPr>
              <w:keepNext w:val="0"/>
              <w:spacing w:after="0" w:before="0" w:line="250" w:lineRule="auto"/>
            </w:pPr>
            <w:r>
              <w:rPr>
                <w:b/>
                <w:color w:val="FFFFFF"/>
                <w:sz w:val="20"/>
              </w:rPr>
              <w:t>Question or gap</w:t>
            </w:r>
          </w:p>
        </w:tc>
        <w:tc>
          <w:tcPr>
            <w:tcW w:type="dxa" w:w="3816"/>
            <w:vAlign w:val="center"/>
            <w:tcMar>
              <w:top w:w="85" w:type="dxa"/>
              <w:bottom w:w="85" w:type="dxa"/>
              <w:left w:w="90" w:type="dxa"/>
              <w:right w:w="90" w:type="dxa"/>
            </w:tcMar>
            <w:shd w:fill="173746"/>
          </w:tcPr>
          <w:p>
            <w:pPr>
              <w:keepNext w:val="0"/>
              <w:spacing w:after="0" w:before="0" w:line="250" w:lineRule="auto"/>
            </w:pPr>
            <w:r>
              <w:rPr>
                <w:b/>
                <w:color w:val="FFFFFF"/>
                <w:sz w:val="20"/>
              </w:rPr>
              <w:t>Correction or answer</w:t>
            </w:r>
          </w:p>
        </w:tc>
        <w:tc>
          <w:tcPr>
            <w:tcW w:type="dxa" w:w="3168"/>
            <w:vAlign w:val="center"/>
            <w:tcMar>
              <w:top w:w="85" w:type="dxa"/>
              <w:bottom w:w="85" w:type="dxa"/>
              <w:left w:w="90" w:type="dxa"/>
              <w:right w:w="90" w:type="dxa"/>
            </w:tcMar>
            <w:shd w:fill="173746"/>
          </w:tcPr>
          <w:p>
            <w:pPr>
              <w:keepNext w:val="0"/>
              <w:spacing w:after="0" w:before="0" w:line="250" w:lineRule="auto"/>
            </w:pPr>
            <w:r>
              <w:rPr>
                <w:b/>
                <w:color w:val="FFFFFF"/>
                <w:sz w:val="20"/>
              </w:rPr>
              <w:t>Source or location</w:t>
            </w:r>
          </w:p>
        </w:tc>
      </w:tr>
      <w:tr>
        <w:trPr>
          <w:cantSplit/>
          <w:trHeight w:val="576" w:hRule="atLeast"/>
        </w:trPr>
        <w:tc>
          <w:tcPr>
            <w:tcW w:type="dxa" w:w="3384"/>
            <w:vAlign w:val="center"/>
            <w:tcMar>
              <w:top w:w="85" w:type="dxa"/>
              <w:bottom w:w="85" w:type="dxa"/>
              <w:left w:w="90" w:type="dxa"/>
              <w:right w:w="90" w:type="dxa"/>
            </w:tcMar>
            <w:shd w:fill="FFFFFF"/>
          </w:tcPr>
          <w:p>
            <w:pPr>
              <w:keepNext w:val="0"/>
              <w:spacing w:after="0" w:before="0" w:line="250" w:lineRule="auto"/>
            </w:pPr>
            <w:r>
              <w:rPr>
                <w:b w:val="0"/>
                <w:color w:val="17262D"/>
                <w:sz w:val="20"/>
              </w:rPr>
            </w:r>
          </w:p>
        </w:tc>
        <w:tc>
          <w:tcPr>
            <w:tcW w:type="dxa" w:w="3816"/>
            <w:vAlign w:val="center"/>
            <w:tcMar>
              <w:top w:w="85" w:type="dxa"/>
              <w:bottom w:w="85" w:type="dxa"/>
              <w:left w:w="90" w:type="dxa"/>
              <w:right w:w="90" w:type="dxa"/>
            </w:tcMar>
            <w:shd w:fill="FFFFFF"/>
          </w:tcPr>
          <w:p>
            <w:pPr>
              <w:keepNext w:val="0"/>
              <w:spacing w:after="0" w:before="0" w:line="250" w:lineRule="auto"/>
            </w:pPr>
            <w:r>
              <w:rPr>
                <w:b w:val="0"/>
                <w:color w:val="17262D"/>
                <w:sz w:val="20"/>
              </w:rPr>
            </w:r>
          </w:p>
        </w:tc>
        <w:tc>
          <w:tcPr>
            <w:tcW w:type="dxa" w:w="3168"/>
            <w:vAlign w:val="center"/>
            <w:tcMar>
              <w:top w:w="85" w:type="dxa"/>
              <w:bottom w:w="85" w:type="dxa"/>
              <w:left w:w="90" w:type="dxa"/>
              <w:right w:w="90" w:type="dxa"/>
            </w:tcMar>
            <w:shd w:fill="FFFFFF"/>
          </w:tcPr>
          <w:p>
            <w:pPr>
              <w:keepNext w:val="0"/>
              <w:spacing w:after="0" w:before="0" w:line="250" w:lineRule="auto"/>
            </w:pPr>
            <w:r>
              <w:rPr>
                <w:b w:val="0"/>
                <w:color w:val="17262D"/>
                <w:sz w:val="20"/>
              </w:rPr>
            </w:r>
          </w:p>
        </w:tc>
      </w:tr>
      <w:tr>
        <w:trPr>
          <w:cantSplit/>
          <w:trHeight w:val="576" w:hRule="atLeast"/>
        </w:trPr>
        <w:tc>
          <w:tcPr>
            <w:tcW w:type="dxa" w:w="3384"/>
            <w:vAlign w:val="center"/>
            <w:tcMar>
              <w:top w:w="85" w:type="dxa"/>
              <w:bottom w:w="85" w:type="dxa"/>
              <w:left w:w="90" w:type="dxa"/>
              <w:right w:w="90" w:type="dxa"/>
            </w:tcMar>
            <w:shd w:fill="F0F5F6"/>
          </w:tcPr>
          <w:p>
            <w:pPr>
              <w:keepNext w:val="0"/>
              <w:spacing w:after="0" w:before="0" w:line="250" w:lineRule="auto"/>
            </w:pPr>
            <w:r>
              <w:rPr>
                <w:b w:val="0"/>
                <w:color w:val="17262D"/>
                <w:sz w:val="20"/>
              </w:rPr>
            </w:r>
          </w:p>
        </w:tc>
        <w:tc>
          <w:tcPr>
            <w:tcW w:type="dxa" w:w="3816"/>
            <w:vAlign w:val="center"/>
            <w:tcMar>
              <w:top w:w="85" w:type="dxa"/>
              <w:bottom w:w="85" w:type="dxa"/>
              <w:left w:w="90" w:type="dxa"/>
              <w:right w:w="90" w:type="dxa"/>
            </w:tcMar>
            <w:shd w:fill="F0F5F6"/>
          </w:tcPr>
          <w:p>
            <w:pPr>
              <w:keepNext w:val="0"/>
              <w:spacing w:after="0" w:before="0" w:line="250" w:lineRule="auto"/>
            </w:pPr>
            <w:r>
              <w:rPr>
                <w:b w:val="0"/>
                <w:color w:val="17262D"/>
                <w:sz w:val="20"/>
              </w:rPr>
            </w:r>
          </w:p>
        </w:tc>
        <w:tc>
          <w:tcPr>
            <w:tcW w:type="dxa" w:w="3168"/>
            <w:vAlign w:val="center"/>
            <w:tcMar>
              <w:top w:w="85" w:type="dxa"/>
              <w:bottom w:w="85" w:type="dxa"/>
              <w:left w:w="90" w:type="dxa"/>
              <w:right w:w="90" w:type="dxa"/>
            </w:tcMar>
            <w:shd w:fill="F0F5F6"/>
          </w:tcPr>
          <w:p>
            <w:pPr>
              <w:keepNext w:val="0"/>
              <w:spacing w:after="0" w:before="0" w:line="250" w:lineRule="auto"/>
            </w:pPr>
            <w:r>
              <w:rPr>
                <w:b w:val="0"/>
                <w:color w:val="17262D"/>
                <w:sz w:val="20"/>
              </w:rPr>
            </w:r>
          </w:p>
        </w:tc>
      </w:tr>
      <w:tr>
        <w:trPr>
          <w:cantSplit/>
          <w:trHeight w:val="576" w:hRule="atLeast"/>
        </w:trPr>
        <w:tc>
          <w:tcPr>
            <w:tcW w:type="dxa" w:w="3384"/>
            <w:vAlign w:val="center"/>
            <w:tcMar>
              <w:top w:w="85" w:type="dxa"/>
              <w:bottom w:w="85" w:type="dxa"/>
              <w:left w:w="90" w:type="dxa"/>
              <w:right w:w="90" w:type="dxa"/>
            </w:tcMar>
            <w:shd w:fill="FFFFFF"/>
          </w:tcPr>
          <w:p>
            <w:pPr>
              <w:keepNext w:val="0"/>
              <w:spacing w:after="0" w:before="0" w:line="250" w:lineRule="auto"/>
            </w:pPr>
            <w:r>
              <w:rPr>
                <w:b w:val="0"/>
                <w:color w:val="17262D"/>
                <w:sz w:val="20"/>
              </w:rPr>
            </w:r>
          </w:p>
        </w:tc>
        <w:tc>
          <w:tcPr>
            <w:tcW w:type="dxa" w:w="3816"/>
            <w:vAlign w:val="center"/>
            <w:tcMar>
              <w:top w:w="85" w:type="dxa"/>
              <w:bottom w:w="85" w:type="dxa"/>
              <w:left w:w="90" w:type="dxa"/>
              <w:right w:w="90" w:type="dxa"/>
            </w:tcMar>
            <w:shd w:fill="FFFFFF"/>
          </w:tcPr>
          <w:p>
            <w:pPr>
              <w:keepNext w:val="0"/>
              <w:spacing w:after="0" w:before="0" w:line="250" w:lineRule="auto"/>
            </w:pPr>
            <w:r>
              <w:rPr>
                <w:b w:val="0"/>
                <w:color w:val="17262D"/>
                <w:sz w:val="20"/>
              </w:rPr>
            </w:r>
          </w:p>
        </w:tc>
        <w:tc>
          <w:tcPr>
            <w:tcW w:type="dxa" w:w="3168"/>
            <w:vAlign w:val="center"/>
            <w:tcMar>
              <w:top w:w="85" w:type="dxa"/>
              <w:bottom w:w="85" w:type="dxa"/>
              <w:left w:w="90" w:type="dxa"/>
              <w:right w:w="90" w:type="dxa"/>
            </w:tcMar>
            <w:shd w:fill="FFFFFF"/>
          </w:tcPr>
          <w:p>
            <w:pPr>
              <w:keepNext w:val="0"/>
              <w:spacing w:after="0" w:before="0" w:line="250" w:lineRule="auto"/>
            </w:pPr>
            <w:r>
              <w:rPr>
                <w:b w:val="0"/>
                <w:color w:val="17262D"/>
                <w:sz w:val="20"/>
              </w:rPr>
            </w:r>
          </w:p>
        </w:tc>
      </w:tr>
    </w:tbl>
    <w:p>
      <w:pPr>
        <w:keepNext w:val="0"/>
        <w:spacing w:before="0" w:after="40"/>
      </w:pPr>
      <w:r>
        <w:rPr>
          <w:sz w:val="4"/>
        </w:rPr>
      </w:r>
    </w:p>
    <w:p>
      <w:pPr>
        <w:pStyle w:val="Heading1"/>
      </w:pPr>
      <w:r>
        <w:t>4 Explain it again with the source closed</w:t>
      </w:r>
    </w:p>
    <w:p>
      <w:pPr>
        <w:keepNext w:val="0"/>
        <w:spacing w:before="0" w:after="60"/>
      </w:pPr>
      <w:r>
        <w:rPr>
          <w:sz w:val="21"/>
        </w:rPr>
        <w:t>Use your own words. Keep essential conditions and exceptions. If you use an analogy, say where it stops being useful.</w:t>
      </w:r>
    </w:p>
    <w:p>
      <w:pPr>
        <w:keepNext w:val="0"/>
        <w:spacing w:before="0" w:after="0" w:line="400" w:lineRule="exact"/>
      </w:pPr>
      <w:r>
        <w:rPr>
          <w:color w:val="B5BDC0"/>
          <w:sz w:val="20"/>
        </w:rPr>
        <w:t>________________________________________________________________________</w:t>
      </w:r>
    </w:p>
    <w:p>
      <w:pPr>
        <w:keepNext w:val="0"/>
        <w:spacing w:before="0" w:after="0" w:line="400" w:lineRule="exact"/>
      </w:pPr>
      <w:r>
        <w:rPr>
          <w:color w:val="B5BDC0"/>
          <w:sz w:val="20"/>
        </w:rPr>
        <w:t>________________________________________________________________________</w:t>
      </w:r>
    </w:p>
    <w:p>
      <w:pPr>
        <w:keepNext w:val="0"/>
        <w:spacing w:before="0" w:after="0" w:line="400" w:lineRule="exact"/>
      </w:pPr>
      <w:r>
        <w:rPr>
          <w:color w:val="B5BDC0"/>
          <w:sz w:val="20"/>
        </w:rPr>
        <w:t>________________________________________________________________________</w:t>
      </w:r>
    </w:p>
    <w:p>
      <w:pPr>
        <w:keepNext w:val="0"/>
        <w:spacing w:before="0" w:after="0" w:line="400" w:lineRule="exact"/>
      </w:pPr>
      <w:r>
        <w:rPr>
          <w:color w:val="B5BDC0"/>
          <w:sz w:val="20"/>
        </w:rPr>
        <w:t>________________________________________________________________________</w:t>
      </w:r>
    </w:p>
    <w:p>
      <w:pPr>
        <w:pStyle w:val="Heading1"/>
      </w:pPr>
      <w:r>
        <w:t>Try a different example</w:t>
      </w:r>
    </w:p>
    <w:p>
      <w:pPr>
        <w:keepNext w:val="0"/>
        <w:spacing w:before="0" w:after="60"/>
      </w:pPr>
      <w:r>
        <w:rPr>
          <w:sz w:val="21"/>
        </w:rPr>
        <w:t>Change the numbers, situation, or condition. Make a prediction or solve the new case, then check it.</w:t>
      </w:r>
    </w:p>
    <w:p>
      <w:pPr>
        <w:keepNext w:val="0"/>
        <w:spacing w:before="0" w:after="0" w:line="400" w:lineRule="exact"/>
      </w:pPr>
      <w:r>
        <w:rPr>
          <w:color w:val="B5BDC0"/>
          <w:sz w:val="20"/>
        </w:rPr>
        <w:t>________________________________________________________________________</w:t>
      </w:r>
    </w:p>
    <w:p>
      <w:pPr>
        <w:keepNext w:val="0"/>
        <w:spacing w:before="0" w:after="0" w:line="400" w:lineRule="exact"/>
      </w:pPr>
      <w:r>
        <w:rPr>
          <w:color w:val="B5BDC0"/>
          <w:sz w:val="20"/>
        </w:rPr>
        <w:t>________________________________________________________________________</w:t>
      </w:r>
    </w:p>
    <w:p>
      <w:pPr>
        <w:keepNext w:val="0"/>
        <w:spacing w:before="0" w:after="0" w:line="400" w:lineRule="exact"/>
      </w:pPr>
      <w:r>
        <w:rPr>
          <w:color w:val="B5BDC0"/>
          <w:sz w:val="20"/>
        </w:rPr>
        <w:t>________________________________________________________________________</w:t>
      </w:r>
    </w:p>
    <w:p>
      <w:pPr>
        <w:pStyle w:val="Heading1"/>
      </w:pPr>
      <w:r>
        <w:t>Decide what comes next</w:t>
      </w:r>
    </w:p>
    <w:p>
      <w:pPr>
        <w:spacing w:after="160"/>
      </w:pPr>
      <w:r>
        <w:rPr>
          <w:b/>
          <w:sz w:val="21"/>
        </w:rPr>
        <w:t xml:space="preserve">Still uncertain about  </w:t>
      </w:r>
      <w:r>
        <w:rPr>
          <w:sz w:val="21"/>
        </w:rPr>
        <w:t>________________________________________________</w:t>
      </w:r>
    </w:p>
    <w:p>
      <w:pPr>
        <w:spacing w:after="160"/>
      </w:pPr>
      <w:r>
        <w:rPr>
          <w:b/>
          <w:sz w:val="21"/>
        </w:rPr>
        <w:t xml:space="preserve">Next step or person to ask  </w:t>
      </w:r>
      <w:r>
        <w:rPr>
          <w:sz w:val="21"/>
        </w:rPr>
        <w:t>___________________________________________</w:t>
      </w:r>
    </w:p>
    <w:p>
      <w:pPr>
        <w:spacing w:after="160"/>
      </w:pPr>
      <w:r>
        <w:rPr>
          <w:b/>
          <w:sz w:val="21"/>
        </w:rPr>
        <w:t xml:space="preserve">When I will return to this  </w:t>
      </w:r>
      <w:r>
        <w:rPr>
          <w:sz w:val="21"/>
        </w:rPr>
        <w:t>___________________________________________</w:t>
      </w:r>
    </w:p>
    <w:p>
      <w:pPr>
        <w:keepNext w:val="0"/>
        <w:spacing w:before="0" w:after="0"/>
      </w:pPr>
      <w:r>
        <w:rPr>
          <w:sz w:val="19"/>
        </w:rPr>
        <w:t>A clear explanation is not proof of competence. Add appropriate practice and feedback.</w:t>
      </w:r>
    </w:p>
    <w:p>
      <w:pPr>
        <w:keepNext w:val="0"/>
        <w:pageBreakBefore/>
        <w:spacing w:before="0" w:after="180"/>
      </w:pPr>
      <w:r>
        <w:rPr>
          <w:b/>
          <w:color w:val="176C66"/>
          <w:sz w:val="20"/>
        </w:rPr>
        <w:t>COMPLETED EXAMPLE</w:t>
      </w:r>
    </w:p>
    <w:p>
      <w:pPr>
        <w:pStyle w:val="Title"/>
        <w:keepNext w:val="0"/>
        <w:spacing w:before="0" w:after="140"/>
      </w:pPr>
      <w:r>
        <w:t>Mean and median example</w:t>
      </w:r>
    </w:p>
    <w:p>
      <w:pPr>
        <w:keepNext w:val="0"/>
        <w:spacing w:before="0" w:after="160"/>
      </w:pPr>
      <w:r>
        <w:rPr>
          <w:sz w:val="22"/>
        </w:rPr>
        <w:t>A fictional practice example using invented task times. These entries show how to move from a plausible explanation to a checked one.</w:t>
      </w:r>
    </w:p>
    <w:p>
      <w:pPr>
        <w:spacing w:after="140"/>
      </w:pPr>
      <w:r>
        <w:rPr>
          <w:b/>
          <w:sz w:val="21"/>
        </w:rPr>
        <w:t xml:space="preserve">Question  </w:t>
      </w:r>
      <w:r>
        <w:rPr>
          <w:sz w:val="21"/>
        </w:rPr>
        <w:t>Why can the mean and median give different pictures of task time?</w:t>
      </w:r>
    </w:p>
    <w:p>
      <w:pPr>
        <w:spacing w:after="140"/>
      </w:pPr>
      <w:r>
        <w:rPr>
          <w:b/>
          <w:sz w:val="21"/>
        </w:rPr>
        <w:t xml:space="preserve">Audience  </w:t>
      </w:r>
      <w:r>
        <w:rPr>
          <w:sz w:val="21"/>
        </w:rPr>
        <w:t>A colleague learning to summarize task durations.</w:t>
      </w:r>
    </w:p>
    <w:p>
      <w:pPr>
        <w:pStyle w:val="Heading1"/>
      </w:pPr>
      <w:r>
        <w:t>First explanation</w:t>
      </w:r>
    </w:p>
    <w:p>
      <w:pPr>
        <w:keepNext w:val="0"/>
        <w:spacing w:before="0" w:after="140"/>
      </w:pPr>
      <w:r>
        <w:rPr>
          <w:sz w:val="21"/>
        </w:rPr>
        <w:t>“The mean and median both show the typical time. Add everything and divide to get the mean. The median is the middle, so they should be about the same.”</w:t>
      </w:r>
    </w:p>
    <w:p>
      <w:pPr>
        <w:pStyle w:val="Heading1"/>
      </w:pPr>
      <w:r>
        <w:t>Gaps and corrections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7056"/>
      </w:tblGrid>
      <w:tr>
        <w:trPr>
          <w:cantSplit/>
          <w:tblHeader w:val="true"/>
        </w:trPr>
        <w:tc>
          <w:tcPr>
            <w:tcW w:type="dxa" w:w="3312"/>
            <w:vAlign w:val="center"/>
            <w:tcMar>
              <w:top w:w="85" w:type="dxa"/>
              <w:bottom w:w="85" w:type="dxa"/>
              <w:left w:w="90" w:type="dxa"/>
              <w:right w:w="90" w:type="dxa"/>
            </w:tcMar>
            <w:shd w:fill="173746"/>
          </w:tcPr>
          <w:p>
            <w:pPr>
              <w:keepNext w:val="0"/>
              <w:spacing w:after="0" w:before="0" w:line="250" w:lineRule="auto"/>
            </w:pPr>
            <w:r>
              <w:rPr>
                <w:b/>
                <w:color w:val="FFFFFF"/>
                <w:sz w:val="20"/>
              </w:rPr>
              <w:t>Question or gap</w:t>
            </w:r>
          </w:p>
        </w:tc>
        <w:tc>
          <w:tcPr>
            <w:tcW w:type="dxa" w:w="7056"/>
            <w:vAlign w:val="center"/>
            <w:tcMar>
              <w:top w:w="85" w:type="dxa"/>
              <w:bottom w:w="85" w:type="dxa"/>
              <w:left w:w="90" w:type="dxa"/>
              <w:right w:w="90" w:type="dxa"/>
            </w:tcMar>
            <w:shd w:fill="173746"/>
          </w:tcPr>
          <w:p>
            <w:pPr>
              <w:keepNext w:val="0"/>
              <w:spacing w:after="0" w:before="0" w:line="250" w:lineRule="auto"/>
            </w:pPr>
            <w:r>
              <w:rPr>
                <w:b/>
                <w:color w:val="FFFFFF"/>
                <w:sz w:val="20"/>
              </w:rPr>
              <w:t>What the check shows</w:t>
            </w:r>
          </w:p>
        </w:tc>
      </w:tr>
      <w:tr>
        <w:trPr>
          <w:cantSplit/>
          <w:trHeight w:val="605" w:hRule="atLeast"/>
        </w:trPr>
        <w:tc>
          <w:tcPr>
            <w:tcW w:type="dxa" w:w="3312"/>
            <w:vAlign w:val="center"/>
            <w:tcMar>
              <w:top w:w="85" w:type="dxa"/>
              <w:bottom w:w="85" w:type="dxa"/>
              <w:left w:w="90" w:type="dxa"/>
              <w:right w:w="90" w:type="dxa"/>
            </w:tcMar>
            <w:shd w:fill="FFFFFF"/>
          </w:tcPr>
          <w:p>
            <w:pPr>
              <w:keepNext w:val="0"/>
              <w:spacing w:after="0" w:before="0" w:line="250" w:lineRule="auto"/>
            </w:pPr>
            <w:r>
              <w:rPr>
                <w:b w:val="0"/>
                <w:color w:val="17262D"/>
                <w:sz w:val="20"/>
              </w:rPr>
              <w:t>Must the two results be similar?</w:t>
            </w:r>
          </w:p>
        </w:tc>
        <w:tc>
          <w:tcPr>
            <w:tcW w:type="dxa" w:w="7056"/>
            <w:vAlign w:val="center"/>
            <w:tcMar>
              <w:top w:w="85" w:type="dxa"/>
              <w:bottom w:w="85" w:type="dxa"/>
              <w:left w:w="90" w:type="dxa"/>
              <w:right w:w="90" w:type="dxa"/>
            </w:tcMar>
            <w:shd w:fill="FFFFFF"/>
          </w:tcPr>
          <w:p>
            <w:pPr>
              <w:keepNext w:val="0"/>
              <w:spacing w:after="0" w:before="0" w:line="250" w:lineRule="auto"/>
            </w:pPr>
            <w:r>
              <w:rPr>
                <w:b w:val="0"/>
                <w:color w:val="17262D"/>
                <w:sz w:val="20"/>
              </w:rPr>
              <w:t>For 2, 3, 3, 4, 18 minutes: total 30; mean 30 / 5 = 6; median 3. The large value changes the mean substantially.</w:t>
            </w:r>
          </w:p>
        </w:tc>
      </w:tr>
      <w:tr>
        <w:trPr>
          <w:cantSplit/>
          <w:trHeight w:val="605" w:hRule="atLeast"/>
        </w:trPr>
        <w:tc>
          <w:tcPr>
            <w:tcW w:type="dxa" w:w="3312"/>
            <w:vAlign w:val="center"/>
            <w:tcMar>
              <w:top w:w="85" w:type="dxa"/>
              <w:bottom w:w="85" w:type="dxa"/>
              <w:left w:w="90" w:type="dxa"/>
              <w:right w:w="90" w:type="dxa"/>
            </w:tcMar>
            <w:shd w:fill="F0F5F6"/>
          </w:tcPr>
          <w:p>
            <w:pPr>
              <w:keepNext w:val="0"/>
              <w:spacing w:after="0" w:before="0" w:line="250" w:lineRule="auto"/>
            </w:pPr>
            <w:r>
              <w:rPr>
                <w:b w:val="0"/>
                <w:color w:val="17262D"/>
                <w:sz w:val="20"/>
              </w:rPr>
              <w:t>What does “middle” mean?</w:t>
            </w:r>
          </w:p>
        </w:tc>
        <w:tc>
          <w:tcPr>
            <w:tcW w:type="dxa" w:w="7056"/>
            <w:vAlign w:val="center"/>
            <w:tcMar>
              <w:top w:w="85" w:type="dxa"/>
              <w:bottom w:w="85" w:type="dxa"/>
              <w:left w:w="90" w:type="dxa"/>
              <w:right w:w="90" w:type="dxa"/>
            </w:tcMar>
            <w:shd w:fill="F0F5F6"/>
          </w:tcPr>
          <w:p>
            <w:pPr>
              <w:keepNext w:val="0"/>
              <w:spacing w:after="0" w:before="0" w:line="250" w:lineRule="auto"/>
            </w:pPr>
            <w:r>
              <w:rPr>
                <w:b w:val="0"/>
                <w:color w:val="17262D"/>
                <w:sz w:val="20"/>
              </w:rPr>
              <w:t>Sort the values first. With an even number, take the mean of the two middle values.</w:t>
            </w:r>
          </w:p>
        </w:tc>
      </w:tr>
      <w:tr>
        <w:trPr>
          <w:cantSplit/>
          <w:trHeight w:val="605" w:hRule="atLeast"/>
        </w:trPr>
        <w:tc>
          <w:tcPr>
            <w:tcW w:type="dxa" w:w="3312"/>
            <w:vAlign w:val="center"/>
            <w:tcMar>
              <w:top w:w="85" w:type="dxa"/>
              <w:bottom w:w="85" w:type="dxa"/>
              <w:left w:w="90" w:type="dxa"/>
              <w:right w:w="90" w:type="dxa"/>
            </w:tcMar>
            <w:shd w:fill="FFFFFF"/>
          </w:tcPr>
          <w:p>
            <w:pPr>
              <w:keepNext w:val="0"/>
              <w:spacing w:after="0" w:before="0" w:line="250" w:lineRule="auto"/>
            </w:pPr>
            <w:r>
              <w:rPr>
                <w:b w:val="0"/>
                <w:color w:val="17262D"/>
                <w:sz w:val="20"/>
              </w:rPr>
              <w:t>Is the median always better?</w:t>
            </w:r>
          </w:p>
        </w:tc>
        <w:tc>
          <w:tcPr>
            <w:tcW w:type="dxa" w:w="7056"/>
            <w:vAlign w:val="center"/>
            <w:tcMar>
              <w:top w:w="85" w:type="dxa"/>
              <w:bottom w:w="85" w:type="dxa"/>
              <w:left w:w="90" w:type="dxa"/>
              <w:right w:w="90" w:type="dxa"/>
            </w:tcMar>
            <w:shd w:fill="FFFFFF"/>
          </w:tcPr>
          <w:p>
            <w:pPr>
              <w:keepNext w:val="0"/>
              <w:spacing w:after="0" w:before="0" w:line="250" w:lineRule="auto"/>
            </w:pPr>
            <w:r>
              <w:rPr>
                <w:b w:val="0"/>
                <w:color w:val="17262D"/>
                <w:sz w:val="20"/>
              </w:rPr>
              <w:t>No. Choose the summary for the question. The long task still matters to the total workload.</w:t>
            </w:r>
          </w:p>
        </w:tc>
      </w:tr>
    </w:tbl>
    <w:p>
      <w:pPr>
        <w:keepNext w:val="0"/>
        <w:spacing w:before="0" w:after="40"/>
      </w:pPr>
      <w:r>
        <w:rPr>
          <w:sz w:val="4"/>
        </w:rPr>
      </w:r>
    </w:p>
    <w:p>
      <w:pPr>
        <w:pStyle w:val="Heading1"/>
      </w:pPr>
      <w:r>
        <w:t>Revised explanation</w:t>
      </w:r>
    </w:p>
    <w:p>
      <w:pPr>
        <w:keepNext w:val="0"/>
        <w:spacing w:before="0" w:after="140"/>
      </w:pPr>
      <w:r>
        <w:rPr>
          <w:sz w:val="21"/>
        </w:rPr>
        <w:t>The mean shares the total equally across all observations. The median identifies the middle of the sorted values; with an even number, take the mean of the two middle values. An unusually large value can move the mean substantially while leaving the median unchanged. Which summary is useful depends on what we need to know.</w:t>
      </w:r>
    </w:p>
    <w:p>
      <w:pPr>
        <w:pStyle w:val="Heading1"/>
      </w:pPr>
      <w:r>
        <w:t>New cases and checked results</w:t>
      </w:r>
    </w:p>
    <w:p>
      <w:pPr>
        <w:spacing w:after="140"/>
      </w:pPr>
      <w:r>
        <w:rPr>
          <w:b/>
          <w:sz w:val="21"/>
        </w:rPr>
        <w:t xml:space="preserve">Change the largest value. </w:t>
      </w:r>
      <w:r>
        <w:rPr>
          <w:sz w:val="21"/>
        </w:rPr>
        <w:t>For 2, 3, 3, 4, 28: total 40; mean 8; median 3. The median stays the same even though the mean rises.</w:t>
      </w:r>
    </w:p>
    <w:p>
      <w:pPr>
        <w:spacing w:after="140"/>
      </w:pPr>
      <w:r>
        <w:rPr>
          <w:b/>
          <w:sz w:val="21"/>
        </w:rPr>
        <w:t xml:space="preserve">Try an even-number set. </w:t>
      </w:r>
      <w:r>
        <w:rPr>
          <w:sz w:val="21"/>
        </w:rPr>
        <w:t>For 2, 3, 4, 19: the middle values are 3 and 4, so the median is 3.5.</w:t>
      </w:r>
    </w:p>
    <w:p>
      <w:pPr>
        <w:spacing w:after="140"/>
      </w:pPr>
      <w:r>
        <w:rPr>
          <w:b/>
          <w:sz w:val="21"/>
        </w:rPr>
        <w:t xml:space="preserve">Next question. </w:t>
      </w:r>
      <w:r>
        <w:rPr>
          <w:sz w:val="21"/>
        </w:rPr>
        <w:t>How would I explain both summaries in a report without hiding the spread of the task times?</w:t>
      </w:r>
    </w:p>
    <w:p>
      <w:pPr>
        <w:spacing w:after="140"/>
      </w:pPr>
      <w:r>
        <w:rPr>
          <w:b/>
          <w:sz w:val="21"/>
        </w:rPr>
        <w:t xml:space="preserve">Next step. </w:t>
      </w:r>
      <w:r>
        <w:rPr>
          <w:sz w:val="21"/>
        </w:rPr>
        <w:t>Practice with another small dataset and explain which question each summary answers.</w:t>
      </w:r>
    </w:p>
    <w:p>
      <w:pPr>
        <w:pStyle w:val="Heading1"/>
      </w:pPr>
      <w:r>
        <w:t>Reference used for checking</w:t>
      </w:r>
    </w:p>
    <w:p>
      <w:pPr>
        <w:keepNext w:val="0"/>
        <w:spacing w:before="0" w:after="80"/>
      </w:pPr>
      <w:r>
        <w:rPr>
          <w:sz w:val="19"/>
        </w:rPr>
        <w:t>NIST/SEMATECH e-Handbook of Statistical Methods</w:t>
        <w:br/>
        <w:t>Section 1.3.5.1 Measures of Location</w:t>
      </w:r>
    </w:p>
    <w:p>
      <w:pPr>
        <w:keepNext w:val="0"/>
        <w:spacing w:before="0" w:after="0"/>
      </w:pPr>
      <w:r>
        <w:rPr>
          <w:sz w:val="19"/>
        </w:rPr>
        <w:t>https://www.itl.nist.gov/div898/handbook/eda/section3/eda351.htm</w:t>
      </w:r>
    </w:p>
    <w:sectPr w:rsidR="00FC693F" w:rsidRPr="0006063C" w:rsidSect="00034616">
      <w:footerReference w:type="default" r:id="rId9"/>
      <w:pgSz w:w="12240" w:h="15840"/>
      <w:pgMar w:top="893" w:right="936" w:bottom="864" w:left="936"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68" w:val="right"/>
      </w:tabs>
      <w:spacing w:after="0"/>
    </w:pPr>
    <w:r>
      <w:rPr>
        <w:color w:val="176C66"/>
        <w:sz w:val="18"/>
      </w:rPr>
      <w:t>ysamphy.com</w:t>
    </w:r>
    <w:r>
      <w:rPr>
        <w:sz w:val="18"/>
      </w:rPr>
      <w:tab/>
    </w: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Liberation Sans" w:hAnsi="Liberation Sans"/>
      <w:color w:val="17262D"/>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Liberation Sans" w:hAnsi="Liberation San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Liberation Sans" w:hAnsi="Liberation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5" w:lineRule="auto" w:before="0"/>
      <w:contextualSpacing/>
    </w:pPr>
    <w:rPr>
      <w:rFonts w:asciiTheme="majorHAnsi" w:eastAsiaTheme="majorEastAsia" w:hAnsiTheme="majorHAnsi" w:cstheme="majorBidi" w:ascii="Liberation Sans" w:hAnsi="Liberation Sans"/>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Feynman technique worksheet</dc:title>
  <dc:subject>Blank explanation worksheet and completed mean and median example</dc:subject>
  <dc:creator>ysamphy.com</dc:creator>
  <cp:keywords>Feynman technique, self explanation, learning worksheet</cp:keywords>
  <dc:description/>
  <cp:lastModifiedBy/>
  <cp:revision>1</cp:revision>
  <dcterms:created xsi:type="dcterms:W3CDTF">2013-12-23T23:15:00Z</dcterms:created>
  <dcterms:modified xsi:type="dcterms:W3CDTF">2013-12-23T23:15:00Z</dcterms:modified>
  <cp:category/>
</cp:coreProperties>
</file>